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69EA" w14:textId="77777777" w:rsidR="00D75A6B" w:rsidRPr="0072145B" w:rsidRDefault="00000000">
      <w:pPr>
        <w:tabs>
          <w:tab w:val="center" w:pos="9254"/>
        </w:tabs>
        <w:spacing w:line="259" w:lineRule="auto"/>
        <w:ind w:left="0" w:right="0" w:firstLine="0"/>
        <w:rPr>
          <w:b/>
          <w:bCs/>
        </w:rPr>
      </w:pPr>
      <w:r w:rsidRPr="0072145B">
        <w:rPr>
          <w:b/>
          <w:bCs/>
          <w:sz w:val="28"/>
        </w:rPr>
        <w:t>BUDGET UNIQUE 2026</w:t>
      </w:r>
      <w:r w:rsidRPr="0072145B">
        <w:rPr>
          <w:b/>
          <w:bCs/>
          <w:sz w:val="28"/>
        </w:rPr>
        <w:tab/>
      </w:r>
      <w:r w:rsidRPr="0072145B">
        <w:rPr>
          <w:b/>
          <w:bCs/>
        </w:rPr>
        <w:t xml:space="preserve"> </w:t>
      </w:r>
    </w:p>
    <w:p w14:paraId="55B20F79" w14:textId="77777777" w:rsidR="00D75A6B" w:rsidRDefault="00000000">
      <w:pPr>
        <w:spacing w:after="4" w:line="259" w:lineRule="auto"/>
        <w:ind w:left="0" w:right="0" w:firstLine="0"/>
      </w:pPr>
      <w:r>
        <w:t xml:space="preserve"> </w:t>
      </w:r>
      <w:r>
        <w:tab/>
        <w:t xml:space="preserve"> </w:t>
      </w:r>
      <w:r>
        <w:tab/>
        <w:t xml:space="preserve"> </w:t>
      </w:r>
      <w:r>
        <w:tab/>
        <w:t xml:space="preserve"> </w:t>
      </w:r>
    </w:p>
    <w:p w14:paraId="2B086A27" w14:textId="686D0ACB" w:rsidR="00D75A6B" w:rsidRDefault="00000000">
      <w:pPr>
        <w:spacing w:after="56"/>
        <w:ind w:left="-5"/>
      </w:pPr>
      <w:r>
        <w:t>Le budget 2026 a été voté le 22 avril 2026 par le conseil municipal. Il peut être consulté sur</w:t>
      </w:r>
      <w:r>
        <w:rPr>
          <w:sz w:val="22"/>
        </w:rPr>
        <w:t xml:space="preserve"> </w:t>
      </w:r>
      <w:r>
        <w:t>simple demande au secrétariat de la mairie aux heures d’ouvertures des bureaux</w:t>
      </w:r>
      <w:r w:rsidR="0072145B">
        <w:t>.</w:t>
      </w:r>
    </w:p>
    <w:p w14:paraId="7CDD21CC" w14:textId="77777777" w:rsidR="00D75A6B" w:rsidRDefault="00000000">
      <w:pPr>
        <w:spacing w:after="0" w:line="259" w:lineRule="auto"/>
        <w:ind w:left="0" w:right="0" w:firstLine="0"/>
      </w:pPr>
      <w:r>
        <w:t xml:space="preserve"> </w:t>
      </w:r>
      <w:r>
        <w:tab/>
        <w:t xml:space="preserve"> </w:t>
      </w:r>
      <w:r>
        <w:tab/>
        <w:t xml:space="preserve"> </w:t>
      </w:r>
      <w:r>
        <w:tab/>
        <w:t xml:space="preserve"> </w:t>
      </w:r>
    </w:p>
    <w:p w14:paraId="4A6681D3" w14:textId="77777777" w:rsidR="00D75A6B" w:rsidRDefault="00000000">
      <w:pPr>
        <w:pStyle w:val="Titre1"/>
        <w:ind w:left="-5"/>
        <w:rPr>
          <w:b/>
        </w:rPr>
      </w:pPr>
      <w:r>
        <w:rPr>
          <w:b/>
        </w:rPr>
        <w:t>SECTION DE FONCTIONNEMENT</w:t>
      </w:r>
      <w:r>
        <w:rPr>
          <w:b/>
          <w:u w:val="none"/>
        </w:rPr>
        <w:t xml:space="preserve"> </w:t>
      </w:r>
    </w:p>
    <w:p w14:paraId="598F5916" w14:textId="77777777" w:rsidR="00D75A6B" w:rsidRDefault="00000000">
      <w:pPr>
        <w:spacing w:after="0" w:line="259" w:lineRule="auto"/>
        <w:ind w:left="0" w:right="0" w:firstLine="0"/>
      </w:pPr>
      <w:r>
        <w:t xml:space="preserve"> </w:t>
      </w:r>
    </w:p>
    <w:p w14:paraId="6B598E3C" w14:textId="7FB5E51B" w:rsidR="00D75A6B" w:rsidRDefault="00000000">
      <w:pPr>
        <w:ind w:left="-5" w:right="549"/>
      </w:pPr>
      <w:r>
        <w:rPr>
          <w:u w:val="single" w:color="000000"/>
        </w:rPr>
        <w:t xml:space="preserve">Dépenses </w:t>
      </w:r>
      <w:r>
        <w:t>: 1 460 145,05 € dont dépenses courantes 327 455,33 €, personnel 233 800,00 €</w:t>
      </w:r>
      <w:r w:rsidR="0072145B">
        <w:t>,</w:t>
      </w:r>
      <w:r>
        <w:rPr>
          <w:sz w:val="22"/>
        </w:rPr>
        <w:t xml:space="preserve"> </w:t>
      </w:r>
      <w:r>
        <w:t>gestion courante (dont écoles) 330 860,00 €, diverses 18 500,00 €, atténuation de charges 98 592,00 €</w:t>
      </w:r>
      <w:r w:rsidR="0072145B">
        <w:t>.</w:t>
      </w:r>
      <w:r>
        <w:t xml:space="preserve"> </w:t>
      </w:r>
    </w:p>
    <w:p w14:paraId="65B28D8E" w14:textId="77777777" w:rsidR="00D75A6B" w:rsidRDefault="00000000">
      <w:pPr>
        <w:spacing w:after="0" w:line="259" w:lineRule="auto"/>
        <w:ind w:left="0" w:right="0" w:firstLine="0"/>
      </w:pPr>
      <w:r>
        <w:t xml:space="preserve"> </w:t>
      </w:r>
    </w:p>
    <w:p w14:paraId="0DED60DF" w14:textId="7E174A9C" w:rsidR="00D75A6B" w:rsidRDefault="00000000">
      <w:pPr>
        <w:ind w:left="-5" w:right="0"/>
      </w:pPr>
      <w:r>
        <w:rPr>
          <w:u w:val="single" w:color="000000"/>
        </w:rPr>
        <w:t xml:space="preserve">Recettes </w:t>
      </w:r>
      <w:r>
        <w:t>:  1 460 145,05 € dont impôts et taxes 667 300,00 €</w:t>
      </w:r>
      <w:r w:rsidR="0072145B">
        <w:t xml:space="preserve">, </w:t>
      </w:r>
      <w:r>
        <w:t>dotations 186 524,45 €, revenus d’immeubles et remboursements divers 20 120,00 €</w:t>
      </w:r>
      <w:r>
        <w:rPr>
          <w:sz w:val="22"/>
        </w:rPr>
        <w:t xml:space="preserve"> </w:t>
      </w:r>
      <w:r>
        <w:rPr>
          <w:szCs w:val="24"/>
        </w:rPr>
        <w:t>et redevances autres produits 42 600,00 €</w:t>
      </w:r>
      <w:r w:rsidR="0072145B">
        <w:rPr>
          <w:szCs w:val="24"/>
        </w:rPr>
        <w:t>.</w:t>
      </w:r>
    </w:p>
    <w:p w14:paraId="66AA0E25" w14:textId="77777777" w:rsidR="00D75A6B" w:rsidRDefault="00000000">
      <w:pPr>
        <w:spacing w:after="7" w:line="259" w:lineRule="auto"/>
        <w:ind w:left="0" w:right="0" w:firstLine="0"/>
      </w:pPr>
      <w:r>
        <w:rPr>
          <w:sz w:val="22"/>
        </w:rPr>
        <w:t xml:space="preserve"> </w:t>
      </w:r>
    </w:p>
    <w:p w14:paraId="24ED980E" w14:textId="77777777" w:rsidR="00D75A6B" w:rsidRDefault="00000000">
      <w:pPr>
        <w:spacing w:line="538" w:lineRule="auto"/>
        <w:ind w:left="-5" w:right="2800"/>
      </w:pPr>
      <w:r>
        <w:t xml:space="preserve">a) </w:t>
      </w:r>
      <w:r>
        <w:rPr>
          <w:i/>
          <w:u w:val="single"/>
        </w:rPr>
        <w:t>La fiscalité</w:t>
      </w:r>
      <w:r>
        <w:rPr>
          <w:sz w:val="22"/>
        </w:rPr>
        <w:t xml:space="preserve">  </w:t>
      </w:r>
      <w:r>
        <w:rPr>
          <w:sz w:val="22"/>
        </w:rPr>
        <w:tab/>
      </w:r>
    </w:p>
    <w:p w14:paraId="49EF192B" w14:textId="77777777" w:rsidR="00D75A6B" w:rsidRDefault="00000000">
      <w:pPr>
        <w:ind w:left="-5" w:right="346"/>
      </w:pPr>
      <w:r>
        <w:t xml:space="preserve">Les taux des impôts locaux pour 2026 ne subiront pas d'augmentation, compte tenu du coefficient de revalorisation des bases qui est de 0.83 ce qui va mathématiquement générer une augmentation des sommes à payer pour les administrés et d’une augmentation de 5 % votée par la CC2M pour la part lui revenant.  </w:t>
      </w:r>
    </w:p>
    <w:p w14:paraId="74A5566B" w14:textId="77777777" w:rsidR="00D75A6B" w:rsidRDefault="00000000">
      <w:pPr>
        <w:tabs>
          <w:tab w:val="center" w:pos="7254"/>
        </w:tabs>
        <w:spacing w:line="259" w:lineRule="auto"/>
        <w:ind w:left="0" w:right="0" w:firstLine="0"/>
      </w:pPr>
      <w:r>
        <w:t xml:space="preserve"> </w:t>
      </w:r>
      <w:r>
        <w:tab/>
        <w:t xml:space="preserve">     2025                2026</w:t>
      </w:r>
      <w:r>
        <w:rPr>
          <w:sz w:val="22"/>
        </w:rPr>
        <w:t xml:space="preserve"> </w:t>
      </w:r>
    </w:p>
    <w:p w14:paraId="05F131DF" w14:textId="77777777" w:rsidR="00D75A6B" w:rsidRDefault="00000000">
      <w:pPr>
        <w:ind w:left="-5" w:right="346"/>
      </w:pPr>
      <w:r>
        <w:t xml:space="preserve">Taxe d’habitation                                                                                7,77 %             7,77 % </w:t>
      </w:r>
    </w:p>
    <w:p w14:paraId="1112FA2D" w14:textId="6E7483DB" w:rsidR="00D75A6B" w:rsidRDefault="00000000">
      <w:pPr>
        <w:ind w:left="-5" w:right="1119"/>
      </w:pPr>
      <w:r>
        <w:t>Taxe foncière sur le bâti                                                                   34,92%            34,92 % Taxe foncière sur le non bâti                                                            35,00 %           35,00 % Le produit attendu de la fiscalité locale s’élève à 448</w:t>
      </w:r>
      <w:r w:rsidR="0072145B">
        <w:t> </w:t>
      </w:r>
      <w:r>
        <w:t>300</w:t>
      </w:r>
      <w:r w:rsidR="0072145B">
        <w:t>,00</w:t>
      </w:r>
      <w:r>
        <w:t xml:space="preserve"> €   </w:t>
      </w:r>
    </w:p>
    <w:p w14:paraId="201452BD" w14:textId="77777777" w:rsidR="00D75A6B" w:rsidRDefault="00000000">
      <w:pPr>
        <w:spacing w:after="5" w:line="259" w:lineRule="auto"/>
        <w:ind w:left="0" w:right="0" w:firstLine="0"/>
      </w:pPr>
      <w:r>
        <w:t xml:space="preserve"> </w:t>
      </w:r>
    </w:p>
    <w:p w14:paraId="46B6CD97" w14:textId="480645CC" w:rsidR="00D75A6B" w:rsidRDefault="00000000">
      <w:pPr>
        <w:spacing w:after="0" w:line="259" w:lineRule="auto"/>
        <w:ind w:left="-5" w:right="0"/>
      </w:pPr>
      <w:r>
        <w:t xml:space="preserve">b) </w:t>
      </w:r>
      <w:r>
        <w:rPr>
          <w:i/>
          <w:u w:val="single"/>
        </w:rPr>
        <w:t>Les dotations de l’Etat</w:t>
      </w:r>
    </w:p>
    <w:p w14:paraId="6DF9E4C8" w14:textId="77777777" w:rsidR="00D75A6B" w:rsidRDefault="00000000">
      <w:pPr>
        <w:spacing w:after="33" w:line="259" w:lineRule="auto"/>
        <w:ind w:left="0" w:right="0" w:firstLine="0"/>
      </w:pPr>
      <w:r>
        <w:rPr>
          <w:sz w:val="22"/>
        </w:rPr>
        <w:t xml:space="preserve"> </w:t>
      </w:r>
    </w:p>
    <w:p w14:paraId="26CABF13" w14:textId="63DCC3CD" w:rsidR="00D75A6B" w:rsidRDefault="00000000">
      <w:pPr>
        <w:ind w:left="-5" w:right="1057"/>
      </w:pPr>
      <w:r>
        <w:t>Les dotations attendues de l’Etat (DGF) s’élèveront à 100</w:t>
      </w:r>
      <w:r w:rsidR="0072145B">
        <w:t> </w:t>
      </w:r>
      <w:r>
        <w:t>130</w:t>
      </w:r>
      <w:r w:rsidR="0072145B">
        <w:t>,00</w:t>
      </w:r>
      <w:r>
        <w:t xml:space="preserve"> € soit une légère augmentation par rapport à l'an passé, due à l’accroissement du nombre d’habitants. </w:t>
      </w:r>
    </w:p>
    <w:p w14:paraId="4B10FD77" w14:textId="5EDC96A9" w:rsidR="00D75A6B" w:rsidRDefault="00000000">
      <w:pPr>
        <w:ind w:left="-5" w:right="346"/>
      </w:pPr>
      <w:r>
        <w:t>Les dotations de solidarité rurale et de péréquation sont estimées à 64</w:t>
      </w:r>
      <w:r w:rsidR="0072145B">
        <w:t> </w:t>
      </w:r>
      <w:r>
        <w:t>000</w:t>
      </w:r>
      <w:r w:rsidR="0072145B">
        <w:t>,00</w:t>
      </w:r>
      <w:r>
        <w:t xml:space="preserve"> €.</w:t>
      </w:r>
    </w:p>
    <w:p w14:paraId="65D89598" w14:textId="77777777" w:rsidR="00D75A6B" w:rsidRDefault="00000000">
      <w:pPr>
        <w:spacing w:after="0" w:line="259" w:lineRule="auto"/>
        <w:ind w:left="0" w:right="0" w:firstLine="0"/>
      </w:pPr>
      <w:r>
        <w:t xml:space="preserve"> </w:t>
      </w:r>
    </w:p>
    <w:p w14:paraId="40EFE07B" w14:textId="77777777" w:rsidR="00D75A6B" w:rsidRDefault="00000000">
      <w:pPr>
        <w:pStyle w:val="Titre1"/>
        <w:ind w:left="-5"/>
        <w:rPr>
          <w:b/>
        </w:rPr>
      </w:pPr>
      <w:r>
        <w:rPr>
          <w:b/>
        </w:rPr>
        <w:t>SECTION D'INVESTISSEMENT</w:t>
      </w:r>
      <w:r>
        <w:rPr>
          <w:b/>
          <w:sz w:val="22"/>
          <w:u w:val="none"/>
        </w:rPr>
        <w:t xml:space="preserve"> </w:t>
      </w:r>
    </w:p>
    <w:p w14:paraId="4D83969D" w14:textId="77777777" w:rsidR="00D75A6B" w:rsidRDefault="00000000">
      <w:pPr>
        <w:spacing w:after="0" w:line="259" w:lineRule="auto"/>
        <w:ind w:left="0" w:right="0" w:firstLine="0"/>
      </w:pPr>
      <w:r>
        <w:t xml:space="preserve"> </w:t>
      </w:r>
    </w:p>
    <w:p w14:paraId="4C35ED43" w14:textId="63F6BF12" w:rsidR="00D75A6B" w:rsidRPr="00081344" w:rsidRDefault="00000000">
      <w:pPr>
        <w:ind w:left="-5" w:right="459"/>
        <w:rPr>
          <w:szCs w:val="24"/>
          <w:highlight w:val="yellow"/>
        </w:rPr>
      </w:pPr>
      <w:r w:rsidRPr="00081344">
        <w:rPr>
          <w:szCs w:val="24"/>
          <w:u w:val="single" w:color="000000"/>
        </w:rPr>
        <w:t>Dépenses</w:t>
      </w:r>
      <w:r w:rsidRPr="00081344">
        <w:rPr>
          <w:szCs w:val="24"/>
        </w:rPr>
        <w:t xml:space="preserve"> :  1 107 638,85 € dont 55</w:t>
      </w:r>
      <w:r w:rsidR="0072145B" w:rsidRPr="00081344">
        <w:rPr>
          <w:szCs w:val="24"/>
        </w:rPr>
        <w:t> </w:t>
      </w:r>
      <w:r w:rsidRPr="00081344">
        <w:rPr>
          <w:szCs w:val="24"/>
        </w:rPr>
        <w:t>000</w:t>
      </w:r>
      <w:r w:rsidR="0072145B" w:rsidRPr="00081344">
        <w:rPr>
          <w:szCs w:val="24"/>
        </w:rPr>
        <w:t>,00</w:t>
      </w:r>
      <w:r w:rsidRPr="00081344">
        <w:rPr>
          <w:szCs w:val="24"/>
        </w:rPr>
        <w:t xml:space="preserve"> € remboursement de la dette, travaux bâtiments 497 000,00 €, réseaux voirie 258 000,00 €, rénovation vidéoprotection 41</w:t>
      </w:r>
      <w:r w:rsidR="0072145B" w:rsidRPr="00081344">
        <w:rPr>
          <w:szCs w:val="24"/>
        </w:rPr>
        <w:t> </w:t>
      </w:r>
      <w:r w:rsidRPr="00081344">
        <w:rPr>
          <w:szCs w:val="24"/>
        </w:rPr>
        <w:t>000</w:t>
      </w:r>
      <w:r w:rsidR="0072145B" w:rsidRPr="00081344">
        <w:rPr>
          <w:szCs w:val="24"/>
        </w:rPr>
        <w:t>,00</w:t>
      </w:r>
      <w:r w:rsidRPr="00081344">
        <w:rPr>
          <w:szCs w:val="24"/>
        </w:rPr>
        <w:t xml:space="preserve"> €, acquisition matériel 14</w:t>
      </w:r>
      <w:r w:rsidR="0072145B" w:rsidRPr="00081344">
        <w:rPr>
          <w:szCs w:val="24"/>
        </w:rPr>
        <w:t> </w:t>
      </w:r>
      <w:r w:rsidRPr="00081344">
        <w:rPr>
          <w:szCs w:val="24"/>
        </w:rPr>
        <w:t>900</w:t>
      </w:r>
      <w:r w:rsidR="0072145B" w:rsidRPr="00081344">
        <w:rPr>
          <w:szCs w:val="24"/>
        </w:rPr>
        <w:t>,00</w:t>
      </w:r>
      <w:r w:rsidRPr="00081344">
        <w:rPr>
          <w:szCs w:val="24"/>
        </w:rPr>
        <w:t xml:space="preserve"> €. </w:t>
      </w:r>
    </w:p>
    <w:p w14:paraId="4BDBF037" w14:textId="77777777" w:rsidR="00D75A6B" w:rsidRPr="00081344" w:rsidRDefault="00D75A6B">
      <w:pPr>
        <w:spacing w:after="0" w:line="259" w:lineRule="auto"/>
        <w:ind w:left="0" w:right="0" w:firstLine="0"/>
        <w:rPr>
          <w:szCs w:val="24"/>
        </w:rPr>
      </w:pPr>
    </w:p>
    <w:p w14:paraId="4F9B55C1" w14:textId="759E0C93" w:rsidR="00D75A6B" w:rsidRPr="00081344" w:rsidRDefault="00000000">
      <w:pPr>
        <w:ind w:left="-5" w:right="346"/>
        <w:rPr>
          <w:szCs w:val="24"/>
        </w:rPr>
      </w:pPr>
      <w:r w:rsidRPr="00081344">
        <w:rPr>
          <w:szCs w:val="24"/>
          <w:u w:val="single" w:color="000000"/>
        </w:rPr>
        <w:t>Recettes :</w:t>
      </w:r>
      <w:r w:rsidRPr="00081344">
        <w:rPr>
          <w:szCs w:val="24"/>
        </w:rPr>
        <w:t xml:space="preserve">    1 107 638,85 € dont FCTVA 15</w:t>
      </w:r>
      <w:r w:rsidR="0072145B" w:rsidRPr="00081344">
        <w:rPr>
          <w:szCs w:val="24"/>
        </w:rPr>
        <w:t> </w:t>
      </w:r>
      <w:r w:rsidRPr="00081344">
        <w:rPr>
          <w:szCs w:val="24"/>
        </w:rPr>
        <w:t>970</w:t>
      </w:r>
      <w:r w:rsidR="0072145B" w:rsidRPr="00081344">
        <w:rPr>
          <w:szCs w:val="24"/>
        </w:rPr>
        <w:t>,00</w:t>
      </w:r>
      <w:r w:rsidRPr="00081344">
        <w:rPr>
          <w:szCs w:val="24"/>
        </w:rPr>
        <w:t xml:space="preserve"> €, taxe d’aménagement 6</w:t>
      </w:r>
      <w:r w:rsidR="0072145B" w:rsidRPr="00081344">
        <w:rPr>
          <w:szCs w:val="24"/>
        </w:rPr>
        <w:t> </w:t>
      </w:r>
      <w:r w:rsidRPr="00081344">
        <w:rPr>
          <w:szCs w:val="24"/>
        </w:rPr>
        <w:t>000</w:t>
      </w:r>
      <w:r w:rsidR="0072145B" w:rsidRPr="00081344">
        <w:rPr>
          <w:szCs w:val="24"/>
        </w:rPr>
        <w:t>,00</w:t>
      </w:r>
      <w:r w:rsidRPr="00081344">
        <w:rPr>
          <w:szCs w:val="24"/>
        </w:rPr>
        <w:t xml:space="preserve"> €, emprunt possible 100</w:t>
      </w:r>
      <w:r w:rsidR="0072145B" w:rsidRPr="00081344">
        <w:rPr>
          <w:szCs w:val="24"/>
        </w:rPr>
        <w:t> </w:t>
      </w:r>
      <w:r w:rsidRPr="00081344">
        <w:rPr>
          <w:szCs w:val="24"/>
        </w:rPr>
        <w:t>000</w:t>
      </w:r>
      <w:r w:rsidR="0072145B" w:rsidRPr="00081344">
        <w:rPr>
          <w:szCs w:val="24"/>
        </w:rPr>
        <w:t>,00</w:t>
      </w:r>
      <w:r w:rsidRPr="00081344">
        <w:rPr>
          <w:szCs w:val="24"/>
        </w:rPr>
        <w:t xml:space="preserve"> €, subventions 364</w:t>
      </w:r>
      <w:r w:rsidR="0072145B" w:rsidRPr="00081344">
        <w:rPr>
          <w:szCs w:val="24"/>
        </w:rPr>
        <w:t> </w:t>
      </w:r>
      <w:r w:rsidRPr="00081344">
        <w:rPr>
          <w:szCs w:val="24"/>
        </w:rPr>
        <w:t>020</w:t>
      </w:r>
      <w:r w:rsidR="0072145B" w:rsidRPr="00081344">
        <w:rPr>
          <w:szCs w:val="24"/>
        </w:rPr>
        <w:t>,00</w:t>
      </w:r>
      <w:r w:rsidRPr="00081344">
        <w:rPr>
          <w:szCs w:val="24"/>
        </w:rPr>
        <w:t xml:space="preserve"> € et virement de 450</w:t>
      </w:r>
      <w:r w:rsidR="0072145B" w:rsidRPr="00081344">
        <w:rPr>
          <w:szCs w:val="24"/>
        </w:rPr>
        <w:t> </w:t>
      </w:r>
      <w:r w:rsidRPr="00081344">
        <w:rPr>
          <w:szCs w:val="24"/>
        </w:rPr>
        <w:t>000</w:t>
      </w:r>
      <w:r w:rsidR="0072145B" w:rsidRPr="00081344">
        <w:rPr>
          <w:szCs w:val="24"/>
        </w:rPr>
        <w:t>,00</w:t>
      </w:r>
      <w:r w:rsidRPr="00081344">
        <w:rPr>
          <w:szCs w:val="24"/>
        </w:rPr>
        <w:t xml:space="preserve"> € de la section de fonctionnement.</w:t>
      </w:r>
    </w:p>
    <w:p w14:paraId="1535BCE9" w14:textId="77777777" w:rsidR="00D75A6B" w:rsidRDefault="00D75A6B">
      <w:pPr>
        <w:ind w:left="-5" w:right="346"/>
      </w:pPr>
    </w:p>
    <w:p w14:paraId="499CEA6B" w14:textId="77777777" w:rsidR="00D75A6B" w:rsidRDefault="00000000">
      <w:pPr>
        <w:numPr>
          <w:ilvl w:val="0"/>
          <w:numId w:val="1"/>
        </w:numPr>
        <w:spacing w:before="28" w:after="28" w:line="259" w:lineRule="auto"/>
        <w:ind w:right="0" w:hanging="257"/>
        <w:jc w:val="both"/>
      </w:pPr>
      <w:r>
        <w:rPr>
          <w:i/>
          <w:u w:val="single"/>
        </w:rPr>
        <w:t>Les principaux projets 2026</w:t>
      </w:r>
      <w:r>
        <w:t xml:space="preserve"> : </w:t>
      </w:r>
    </w:p>
    <w:p w14:paraId="23D9F86B" w14:textId="77777777" w:rsidR="00D75A6B" w:rsidRDefault="00D75A6B">
      <w:pPr>
        <w:spacing w:before="28" w:after="28" w:line="259" w:lineRule="auto"/>
        <w:ind w:right="0"/>
        <w:jc w:val="both"/>
      </w:pPr>
    </w:p>
    <w:p w14:paraId="7C1BE9C6" w14:textId="77777777" w:rsidR="00D75A6B" w:rsidRDefault="00000000">
      <w:pPr>
        <w:pStyle w:val="Standard"/>
        <w:numPr>
          <w:ilvl w:val="2"/>
          <w:numId w:val="2"/>
        </w:numPr>
        <w:spacing w:before="28" w:after="28"/>
        <w:jc w:val="both"/>
      </w:pPr>
      <w:r>
        <w:t>Réfection de la cuisine de la salle polyvalente avec changement du matériel et des placards</w:t>
      </w:r>
    </w:p>
    <w:p w14:paraId="55E44704" w14:textId="77777777" w:rsidR="00D75A6B" w:rsidRDefault="00000000">
      <w:pPr>
        <w:pStyle w:val="Standard"/>
        <w:numPr>
          <w:ilvl w:val="2"/>
          <w:numId w:val="2"/>
        </w:numPr>
        <w:spacing w:before="28" w:after="28"/>
        <w:jc w:val="both"/>
      </w:pPr>
      <w:r>
        <w:t>Rénovation de deux locaux à usage d’habitation pour location</w:t>
      </w:r>
    </w:p>
    <w:p w14:paraId="3185487C" w14:textId="77777777" w:rsidR="00D75A6B" w:rsidRDefault="00000000">
      <w:pPr>
        <w:pStyle w:val="Standard"/>
        <w:numPr>
          <w:ilvl w:val="2"/>
          <w:numId w:val="2"/>
        </w:numPr>
        <w:spacing w:before="28" w:after="28"/>
        <w:jc w:val="both"/>
      </w:pPr>
      <w:r>
        <w:t>Travaux de remise en état de l’immeuble de La Poste, pour permettre l’accueil de nouveaux médecins</w:t>
      </w:r>
    </w:p>
    <w:p w14:paraId="613A8354" w14:textId="77777777" w:rsidR="00D75A6B" w:rsidRDefault="00000000">
      <w:pPr>
        <w:pStyle w:val="Standard"/>
        <w:numPr>
          <w:ilvl w:val="2"/>
          <w:numId w:val="2"/>
        </w:numPr>
        <w:spacing w:before="28" w:after="28"/>
        <w:jc w:val="both"/>
      </w:pPr>
      <w:r>
        <w:t>Réfection des routes de la voirie communale et des réseaux sous-jacents</w:t>
      </w:r>
    </w:p>
    <w:p w14:paraId="1CCD15E5" w14:textId="77777777" w:rsidR="00D75A6B" w:rsidRDefault="00000000">
      <w:pPr>
        <w:pStyle w:val="Standard"/>
        <w:numPr>
          <w:ilvl w:val="2"/>
          <w:numId w:val="2"/>
        </w:numPr>
        <w:spacing w:before="28" w:after="28"/>
        <w:jc w:val="both"/>
      </w:pPr>
      <w:r>
        <w:lastRenderedPageBreak/>
        <w:t>Remplacement de trois armoires électriques signalées par le SDESM</w:t>
      </w:r>
    </w:p>
    <w:p w14:paraId="02CDA6A5" w14:textId="77777777" w:rsidR="00D75A6B" w:rsidRDefault="00000000">
      <w:pPr>
        <w:pStyle w:val="Standard"/>
        <w:numPr>
          <w:ilvl w:val="2"/>
          <w:numId w:val="2"/>
        </w:numPr>
        <w:spacing w:before="28" w:after="28"/>
        <w:jc w:val="both"/>
      </w:pPr>
      <w:r>
        <w:t>Mise aux normes de l’éclairage public, en remplaçant une partie des luminaires par des lampes LED moins énergivores et nécessitant moins d’entretien</w:t>
      </w:r>
    </w:p>
    <w:p w14:paraId="267EC11D" w14:textId="77777777" w:rsidR="00D75A6B" w:rsidRDefault="00000000">
      <w:pPr>
        <w:pStyle w:val="Standard"/>
        <w:numPr>
          <w:ilvl w:val="2"/>
          <w:numId w:val="2"/>
        </w:numPr>
        <w:spacing w:before="28" w:after="28"/>
        <w:jc w:val="both"/>
      </w:pPr>
      <w:r>
        <w:t>Migration matérielle et fonctionnelle du système de vidéoprotection</w:t>
      </w:r>
    </w:p>
    <w:p w14:paraId="67C33FB7" w14:textId="77777777" w:rsidR="00D75A6B" w:rsidRDefault="00D75A6B">
      <w:pPr>
        <w:spacing w:before="28" w:after="28" w:line="259" w:lineRule="auto"/>
        <w:ind w:left="0" w:right="0" w:firstLine="0"/>
        <w:jc w:val="both"/>
      </w:pPr>
    </w:p>
    <w:p w14:paraId="48703994" w14:textId="77777777" w:rsidR="00D75A6B" w:rsidRDefault="00D75A6B">
      <w:pPr>
        <w:spacing w:before="28" w:after="28" w:line="259" w:lineRule="auto"/>
        <w:ind w:right="0"/>
        <w:jc w:val="both"/>
      </w:pPr>
    </w:p>
    <w:p w14:paraId="145DC466" w14:textId="77777777" w:rsidR="00D75A6B" w:rsidRDefault="00000000">
      <w:pPr>
        <w:numPr>
          <w:ilvl w:val="0"/>
          <w:numId w:val="1"/>
        </w:numPr>
        <w:spacing w:after="122" w:line="259" w:lineRule="auto"/>
        <w:ind w:right="0" w:hanging="257"/>
      </w:pPr>
      <w:r>
        <w:rPr>
          <w:i/>
          <w:u w:val="single"/>
        </w:rPr>
        <w:t>Les subventions d’investissements prévues</w:t>
      </w:r>
      <w:r>
        <w:t xml:space="preserve"> : </w:t>
      </w:r>
    </w:p>
    <w:p w14:paraId="6C444A87" w14:textId="77777777" w:rsidR="00D75A6B" w:rsidRDefault="00D75A6B">
      <w:pPr>
        <w:spacing w:after="122" w:line="259" w:lineRule="auto"/>
        <w:ind w:right="0"/>
      </w:pPr>
    </w:p>
    <w:p w14:paraId="12EC1635" w14:textId="43A23491" w:rsidR="00D75A6B" w:rsidRDefault="00000000">
      <w:pPr>
        <w:pStyle w:val="Standard"/>
        <w:numPr>
          <w:ilvl w:val="0"/>
          <w:numId w:val="3"/>
        </w:numPr>
        <w:spacing w:before="28" w:after="28"/>
      </w:pPr>
      <w:r>
        <w:t>COR (contrat rural) département</w:t>
      </w:r>
      <w:r w:rsidR="00081344">
        <w:t xml:space="preserve"> </w:t>
      </w:r>
      <w:r>
        <w:t>:    79</w:t>
      </w:r>
      <w:r w:rsidR="0072145B">
        <w:t> </w:t>
      </w:r>
      <w:r>
        <w:t>280</w:t>
      </w:r>
      <w:r w:rsidR="0072145B">
        <w:t>,00</w:t>
      </w:r>
      <w:r>
        <w:t xml:space="preserve"> € </w:t>
      </w:r>
    </w:p>
    <w:p w14:paraId="061C97CB" w14:textId="3F5E9203" w:rsidR="00D75A6B" w:rsidRDefault="00000000">
      <w:pPr>
        <w:pStyle w:val="Standard"/>
        <w:numPr>
          <w:ilvl w:val="0"/>
          <w:numId w:val="3"/>
        </w:numPr>
        <w:spacing w:before="28" w:after="28"/>
      </w:pPr>
      <w:r>
        <w:t xml:space="preserve">COR (contrat rural) région       </w:t>
      </w:r>
      <w:proofErr w:type="gramStart"/>
      <w:r>
        <w:t xml:space="preserve">   :</w:t>
      </w:r>
      <w:proofErr w:type="gramEnd"/>
      <w:r>
        <w:t xml:space="preserve">   105</w:t>
      </w:r>
      <w:r w:rsidR="0072145B">
        <w:t> </w:t>
      </w:r>
      <w:r>
        <w:t>720</w:t>
      </w:r>
      <w:r w:rsidR="0072145B">
        <w:t>,00</w:t>
      </w:r>
      <w:r>
        <w:t xml:space="preserve"> €</w:t>
      </w:r>
    </w:p>
    <w:p w14:paraId="11F8047D" w14:textId="26488235" w:rsidR="00D75A6B" w:rsidRDefault="00000000">
      <w:pPr>
        <w:pStyle w:val="Standard"/>
        <w:numPr>
          <w:ilvl w:val="0"/>
          <w:numId w:val="3"/>
        </w:numPr>
        <w:spacing w:before="28" w:after="28"/>
      </w:pPr>
      <w:r>
        <w:t xml:space="preserve">DETR cabinet médical             </w:t>
      </w:r>
      <w:proofErr w:type="gramStart"/>
      <w:r>
        <w:t xml:space="preserve">   :</w:t>
      </w:r>
      <w:proofErr w:type="gramEnd"/>
      <w:r>
        <w:t xml:space="preserve">   134</w:t>
      </w:r>
      <w:r w:rsidR="0072145B">
        <w:t> </w:t>
      </w:r>
      <w:r>
        <w:t>000</w:t>
      </w:r>
      <w:r w:rsidR="0072145B">
        <w:t>,00</w:t>
      </w:r>
      <w:r>
        <w:t xml:space="preserve"> €</w:t>
      </w:r>
    </w:p>
    <w:p w14:paraId="72D0FCA9" w14:textId="2B38D32D" w:rsidR="00D75A6B" w:rsidRDefault="00000000">
      <w:pPr>
        <w:pStyle w:val="Standard"/>
        <w:numPr>
          <w:ilvl w:val="0"/>
          <w:numId w:val="3"/>
        </w:numPr>
        <w:spacing w:before="28" w:after="28"/>
      </w:pPr>
      <w:r>
        <w:t xml:space="preserve">FER </w:t>
      </w:r>
      <w:r>
        <w:tab/>
      </w:r>
      <w:r>
        <w:tab/>
      </w:r>
      <w:r>
        <w:tab/>
      </w:r>
      <w:r>
        <w:tab/>
        <w:t xml:space="preserve">  </w:t>
      </w:r>
      <w:proofErr w:type="gramStart"/>
      <w:r>
        <w:t xml:space="preserve">   :</w:t>
      </w:r>
      <w:proofErr w:type="gramEnd"/>
      <w:r>
        <w:tab/>
        <w:t>16</w:t>
      </w:r>
      <w:r w:rsidR="0072145B">
        <w:t> </w:t>
      </w:r>
      <w:r>
        <w:t>800</w:t>
      </w:r>
      <w:r w:rsidR="0072145B">
        <w:t>,00</w:t>
      </w:r>
      <w:r>
        <w:t xml:space="preserve"> €</w:t>
      </w:r>
    </w:p>
    <w:p w14:paraId="5679C3A6" w14:textId="394398DC" w:rsidR="00D75A6B" w:rsidRDefault="00000000">
      <w:pPr>
        <w:pStyle w:val="Standard"/>
        <w:numPr>
          <w:ilvl w:val="0"/>
          <w:numId w:val="3"/>
        </w:numPr>
        <w:spacing w:before="28" w:after="28"/>
      </w:pPr>
      <w:r>
        <w:t xml:space="preserve">SDESM                                    </w:t>
      </w:r>
      <w:proofErr w:type="gramStart"/>
      <w:r>
        <w:t xml:space="preserve">   :</w:t>
      </w:r>
      <w:proofErr w:type="gramEnd"/>
      <w:r>
        <w:t xml:space="preserve">       5</w:t>
      </w:r>
      <w:r w:rsidR="0072145B">
        <w:t> </w:t>
      </w:r>
      <w:r>
        <w:t>200</w:t>
      </w:r>
      <w:r w:rsidR="0072145B">
        <w:t>,00</w:t>
      </w:r>
      <w:r>
        <w:t xml:space="preserve"> €</w:t>
      </w:r>
    </w:p>
    <w:p w14:paraId="185392A5" w14:textId="123D0523" w:rsidR="00D75A6B" w:rsidRDefault="00000000">
      <w:pPr>
        <w:pStyle w:val="Standard"/>
        <w:numPr>
          <w:ilvl w:val="0"/>
          <w:numId w:val="3"/>
        </w:numPr>
        <w:spacing w:before="28" w:after="28"/>
      </w:pPr>
      <w:r>
        <w:t xml:space="preserve">Autres subventions région       </w:t>
      </w:r>
      <w:proofErr w:type="gramStart"/>
      <w:r>
        <w:t xml:space="preserve">   :</w:t>
      </w:r>
      <w:proofErr w:type="gramEnd"/>
      <w:r>
        <w:t xml:space="preserve">       8</w:t>
      </w:r>
      <w:r w:rsidR="0072145B">
        <w:t> </w:t>
      </w:r>
      <w:r>
        <w:t>500</w:t>
      </w:r>
      <w:r w:rsidR="0072145B">
        <w:t>,00</w:t>
      </w:r>
      <w:r>
        <w:t xml:space="preserve"> €</w:t>
      </w:r>
    </w:p>
    <w:p w14:paraId="592D8787" w14:textId="6AF70039" w:rsidR="00D75A6B" w:rsidRDefault="00000000">
      <w:pPr>
        <w:pStyle w:val="Standard"/>
        <w:numPr>
          <w:ilvl w:val="0"/>
          <w:numId w:val="3"/>
        </w:numPr>
        <w:spacing w:before="28" w:after="28"/>
      </w:pPr>
      <w:r>
        <w:t>Autres subventions département :      7</w:t>
      </w:r>
      <w:r w:rsidR="0072145B">
        <w:t> </w:t>
      </w:r>
      <w:r>
        <w:t>270</w:t>
      </w:r>
      <w:r w:rsidR="0072145B">
        <w:t>,00</w:t>
      </w:r>
      <w:r>
        <w:t xml:space="preserve"> €</w:t>
      </w:r>
    </w:p>
    <w:p w14:paraId="42B519BD" w14:textId="77777777" w:rsidR="00D75A6B" w:rsidRDefault="00000000">
      <w:pPr>
        <w:spacing w:after="88" w:line="259" w:lineRule="auto"/>
        <w:ind w:left="0" w:right="0" w:firstLine="0"/>
      </w:pPr>
      <w:r>
        <w:t xml:space="preserve"> </w:t>
      </w:r>
    </w:p>
    <w:p w14:paraId="38A93D61" w14:textId="77777777" w:rsidR="00D75A6B" w:rsidRDefault="00000000">
      <w:pPr>
        <w:numPr>
          <w:ilvl w:val="0"/>
          <w:numId w:val="1"/>
        </w:numPr>
        <w:spacing w:after="88" w:line="259" w:lineRule="auto"/>
        <w:ind w:right="0" w:hanging="257"/>
        <w:rPr>
          <w:i/>
          <w:u w:val="single"/>
        </w:rPr>
      </w:pPr>
      <w:r>
        <w:rPr>
          <w:i/>
          <w:u w:val="single"/>
        </w:rPr>
        <w:t xml:space="preserve">Principaux ratios </w:t>
      </w:r>
    </w:p>
    <w:p w14:paraId="4FA48449" w14:textId="77777777" w:rsidR="00D75A6B" w:rsidRDefault="00000000">
      <w:pPr>
        <w:pStyle w:val="Standard"/>
        <w:spacing w:before="28" w:after="28"/>
      </w:pPr>
      <w:r>
        <w:t>Ramenées par habitant, les charges générales et les charges de personnel sont inférieures à la moyenne départementale alors que les charges de gestion courante sont supérieures.</w:t>
      </w:r>
    </w:p>
    <w:p w14:paraId="7573BA62" w14:textId="110B88F2" w:rsidR="00D75A6B" w:rsidRDefault="00000000">
      <w:pPr>
        <w:pStyle w:val="Standard"/>
        <w:spacing w:before="28" w:after="28"/>
      </w:pPr>
      <w:r>
        <w:t>L’ensemble des charges réelles représente 534</w:t>
      </w:r>
      <w:r w:rsidR="0072145B">
        <w:t>,00</w:t>
      </w:r>
      <w:r>
        <w:t xml:space="preserve"> € / habitant contre 569</w:t>
      </w:r>
      <w:r w:rsidR="0072145B">
        <w:t>,00</w:t>
      </w:r>
      <w:r>
        <w:t xml:space="preserve"> € en 2024.</w:t>
      </w:r>
    </w:p>
    <w:p w14:paraId="73C247F2" w14:textId="4183C033" w:rsidR="00D75A6B" w:rsidRDefault="00000000">
      <w:pPr>
        <w:pStyle w:val="Standard"/>
        <w:spacing w:before="28" w:after="28"/>
        <w:jc w:val="both"/>
      </w:pPr>
      <w:r>
        <w:t>Le produit des impositions directes de la commune rapporté à la population s’établit à 327</w:t>
      </w:r>
      <w:r w:rsidR="0072145B">
        <w:t>,00</w:t>
      </w:r>
      <w:r>
        <w:t xml:space="preserve"> € / habitant ; 461</w:t>
      </w:r>
      <w:r w:rsidR="0072145B">
        <w:t>,00</w:t>
      </w:r>
      <w:r>
        <w:t xml:space="preserve"> € si l’on ajoute le reversement de la CC2M.</w:t>
      </w:r>
    </w:p>
    <w:p w14:paraId="7F4F02F9" w14:textId="63350EC6" w:rsidR="00D75A6B" w:rsidRDefault="00000000">
      <w:pPr>
        <w:pStyle w:val="Standard"/>
        <w:spacing w:before="28" w:after="28"/>
        <w:jc w:val="both"/>
      </w:pPr>
      <w:r>
        <w:t>Quant aux recettes réelles de fonctionnement, elles s’élèvent à 695</w:t>
      </w:r>
      <w:r w:rsidR="0072145B">
        <w:t>,00</w:t>
      </w:r>
      <w:r>
        <w:t xml:space="preserve"> € /habitant.</w:t>
      </w:r>
    </w:p>
    <w:p w14:paraId="15321899" w14:textId="77777777" w:rsidR="00D75A6B" w:rsidRDefault="00000000">
      <w:pPr>
        <w:pStyle w:val="Standard"/>
        <w:spacing w:before="28" w:after="28"/>
        <w:ind w:left="257"/>
        <w:jc w:val="both"/>
      </w:pPr>
      <w:r>
        <w:t> </w:t>
      </w:r>
    </w:p>
    <w:p w14:paraId="3DE66F16" w14:textId="77777777" w:rsidR="00D75A6B" w:rsidRDefault="00000000">
      <w:pPr>
        <w:spacing w:after="88" w:line="259" w:lineRule="auto"/>
        <w:ind w:left="-5" w:right="0"/>
      </w:pPr>
      <w:r>
        <w:t xml:space="preserve">d) </w:t>
      </w:r>
      <w:r>
        <w:rPr>
          <w:i/>
          <w:u w:val="single"/>
        </w:rPr>
        <w:t>Etat de la dette</w:t>
      </w:r>
      <w:r>
        <w:t xml:space="preserve"> </w:t>
      </w:r>
    </w:p>
    <w:p w14:paraId="4C408019" w14:textId="77777777" w:rsidR="00D75A6B" w:rsidRDefault="00000000">
      <w:pPr>
        <w:pStyle w:val="Standard"/>
        <w:spacing w:before="28" w:after="28"/>
        <w:jc w:val="both"/>
      </w:pPr>
      <w:r>
        <w:t>Les charges financières sont en diminution et représentent 1.75 % des charges de fonctionnement soit un coût de 9,30 € par habitant.</w:t>
      </w:r>
    </w:p>
    <w:p w14:paraId="617F2881" w14:textId="709E25A6" w:rsidR="00D75A6B" w:rsidRDefault="00000000">
      <w:pPr>
        <w:pStyle w:val="Standard"/>
        <w:spacing w:before="28" w:after="28"/>
        <w:jc w:val="both"/>
      </w:pPr>
      <w:r>
        <w:t>A la fin de l’année 2025, l'encours de la dette était de 408</w:t>
      </w:r>
      <w:r w:rsidR="0072145B">
        <w:t> </w:t>
      </w:r>
      <w:r>
        <w:t>490</w:t>
      </w:r>
      <w:r w:rsidR="0072145B">
        <w:t>,00</w:t>
      </w:r>
      <w:r>
        <w:t xml:space="preserve"> € soit 300</w:t>
      </w:r>
      <w:r w:rsidR="0072145B">
        <w:t>,00</w:t>
      </w:r>
      <w:r>
        <w:t xml:space="preserve"> € / habitant. </w:t>
      </w:r>
      <w:r>
        <w:tab/>
      </w:r>
      <w:r>
        <w:br/>
        <w:t>Un emprunt de 90</w:t>
      </w:r>
      <w:r w:rsidR="0072145B">
        <w:t> </w:t>
      </w:r>
      <w:r>
        <w:t>000</w:t>
      </w:r>
      <w:r w:rsidR="0072145B">
        <w:t>,00</w:t>
      </w:r>
      <w:r>
        <w:t xml:space="preserve"> € sera soldé en décembre 2026.</w:t>
      </w:r>
    </w:p>
    <w:p w14:paraId="6641CC81" w14:textId="77777777" w:rsidR="00D75A6B" w:rsidRDefault="00D75A6B">
      <w:pPr>
        <w:pStyle w:val="Standard"/>
        <w:spacing w:before="28" w:after="28"/>
        <w:jc w:val="both"/>
      </w:pPr>
    </w:p>
    <w:p w14:paraId="054F636F" w14:textId="77777777" w:rsidR="00D75A6B" w:rsidRDefault="00D75A6B">
      <w:pPr>
        <w:spacing w:after="88" w:line="259" w:lineRule="auto"/>
        <w:ind w:left="-5" w:right="0"/>
      </w:pPr>
    </w:p>
    <w:p w14:paraId="51A64262" w14:textId="77777777" w:rsidR="00D75A6B" w:rsidRDefault="00D75A6B">
      <w:pPr>
        <w:spacing w:after="88" w:line="259" w:lineRule="auto"/>
        <w:ind w:left="0" w:right="0" w:firstLine="0"/>
      </w:pPr>
    </w:p>
    <w:p w14:paraId="724D981E" w14:textId="77777777" w:rsidR="00D75A6B" w:rsidRDefault="00000000">
      <w:pPr>
        <w:spacing w:after="0" w:line="259" w:lineRule="auto"/>
        <w:ind w:left="0" w:right="0" w:firstLine="0"/>
      </w:pPr>
      <w:r>
        <w:t xml:space="preserve"> </w:t>
      </w:r>
    </w:p>
    <w:sectPr w:rsidR="00D75A6B">
      <w:pgSz w:w="11906" w:h="16838"/>
      <w:pgMar w:top="924" w:right="751" w:bottom="1167"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58B"/>
    <w:multiLevelType w:val="multilevel"/>
    <w:tmpl w:val="6D4ECC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7E5A0F"/>
    <w:multiLevelType w:val="multilevel"/>
    <w:tmpl w:val="844E1760"/>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2" w15:restartNumberingAfterBreak="0">
    <w:nsid w:val="3C8739A1"/>
    <w:multiLevelType w:val="multilevel"/>
    <w:tmpl w:val="229053EA"/>
    <w:lvl w:ilvl="0">
      <w:start w:val="1"/>
      <w:numFmt w:val="lowerLetter"/>
      <w:lvlText w:val="%1)"/>
      <w:lvlJc w:val="left"/>
      <w:pPr>
        <w:tabs>
          <w:tab w:val="num" w:pos="0"/>
        </w:tabs>
        <w:ind w:left="2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72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lvl w:ilvl="2">
      <w:start w:val="1"/>
      <w:numFmt w:val="bullet"/>
      <w:lvlText w:val="▪"/>
      <w:lvlJc w:val="left"/>
      <w:pPr>
        <w:tabs>
          <w:tab w:val="num" w:pos="0"/>
        </w:tabs>
        <w:ind w:left="144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lvl w:ilvl="3">
      <w:start w:val="1"/>
      <w:numFmt w:val="bullet"/>
      <w:lvlText w:val="•"/>
      <w:lvlJc w:val="left"/>
      <w:pPr>
        <w:tabs>
          <w:tab w:val="num" w:pos="0"/>
        </w:tabs>
        <w:ind w:left="216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lvl w:ilvl="4">
      <w:start w:val="1"/>
      <w:numFmt w:val="bullet"/>
      <w:lvlText w:val="o"/>
      <w:lvlJc w:val="left"/>
      <w:pPr>
        <w:tabs>
          <w:tab w:val="num" w:pos="0"/>
        </w:tabs>
        <w:ind w:left="288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lvl w:ilvl="5">
      <w:start w:val="1"/>
      <w:numFmt w:val="bullet"/>
      <w:lvlText w:val="▪"/>
      <w:lvlJc w:val="left"/>
      <w:pPr>
        <w:tabs>
          <w:tab w:val="num" w:pos="0"/>
        </w:tabs>
        <w:ind w:left="360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lvl w:ilvl="6">
      <w:start w:val="1"/>
      <w:numFmt w:val="bullet"/>
      <w:lvlText w:val="•"/>
      <w:lvlJc w:val="left"/>
      <w:pPr>
        <w:tabs>
          <w:tab w:val="num" w:pos="0"/>
        </w:tabs>
        <w:ind w:left="432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lvl w:ilvl="7">
      <w:start w:val="1"/>
      <w:numFmt w:val="bullet"/>
      <w:lvlText w:val="o"/>
      <w:lvlJc w:val="left"/>
      <w:pPr>
        <w:tabs>
          <w:tab w:val="num" w:pos="0"/>
        </w:tabs>
        <w:ind w:left="504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lvl w:ilvl="8">
      <w:start w:val="1"/>
      <w:numFmt w:val="bullet"/>
      <w:lvlText w:val="▪"/>
      <w:lvlJc w:val="left"/>
      <w:pPr>
        <w:tabs>
          <w:tab w:val="num" w:pos="0"/>
        </w:tabs>
        <w:ind w:left="5760" w:firstLine="0"/>
      </w:pPr>
      <w:rPr>
        <w:rFonts w:ascii="Times New Roman" w:hAnsi="Times New Roman" w:cs="Times New Roman" w:hint="default"/>
        <w:b w:val="0"/>
        <w:i w:val="0"/>
        <w:strike w:val="0"/>
        <w:dstrike w:val="0"/>
        <w:color w:val="000000"/>
        <w:position w:val="0"/>
        <w:sz w:val="18"/>
        <w:szCs w:val="18"/>
        <w:u w:val="none" w:color="000000"/>
        <w:shd w:val="clear" w:color="auto" w:fill="auto"/>
        <w:vertAlign w:val="baseline"/>
      </w:rPr>
    </w:lvl>
  </w:abstractNum>
  <w:abstractNum w:abstractNumId="3" w15:restartNumberingAfterBreak="0">
    <w:nsid w:val="55C65012"/>
    <w:multiLevelType w:val="multilevel"/>
    <w:tmpl w:val="EB6AD87C"/>
    <w:lvl w:ilvl="0">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num w:numId="1" w16cid:durableId="1933196090">
    <w:abstractNumId w:val="2"/>
  </w:num>
  <w:num w:numId="2" w16cid:durableId="442650005">
    <w:abstractNumId w:val="3"/>
  </w:num>
  <w:num w:numId="3" w16cid:durableId="3482695">
    <w:abstractNumId w:val="1"/>
  </w:num>
  <w:num w:numId="4" w16cid:durableId="214735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6B"/>
    <w:rsid w:val="00081344"/>
    <w:rsid w:val="002A3269"/>
    <w:rsid w:val="0072145B"/>
    <w:rsid w:val="00D75A6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1AB9"/>
  <w15:docId w15:val="{094D66E7-1833-4478-9A71-513AC64C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50" w:lineRule="auto"/>
      <w:ind w:left="10" w:right="601" w:hanging="10"/>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line="259" w:lineRule="auto"/>
      <w:ind w:left="10" w:hanging="10"/>
      <w:outlineLvl w:val="0"/>
    </w:pPr>
    <w:rPr>
      <w:rFonts w:ascii="Times New Roman" w:eastAsia="Times New Roman" w:hAnsi="Times New Roman" w:cs="Times New Roman"/>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Times New Roman" w:eastAsia="Times New Roman" w:hAnsi="Times New Roman" w:cs="Times New Roman"/>
      <w:color w:val="000000"/>
      <w:sz w:val="24"/>
      <w:u w:val="single" w:color="000000"/>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Standard">
    <w:name w:val="Standard"/>
    <w:qFormat/>
    <w:rsid w:val="00EE7610"/>
    <w:pPr>
      <w:textAlignment w:val="baseline"/>
    </w:pPr>
    <w:rPr>
      <w:rFonts w:ascii="Times New Roman" w:eastAsia="Times New Roman" w:hAnsi="Times New Roman" w:cs="Times New Roman"/>
      <w:color w:val="000000"/>
      <w:kern w:val="2"/>
      <w:sz w:val="24"/>
      <w:szCs w:val="24"/>
    </w:rPr>
  </w:style>
  <w:style w:type="paragraph" w:styleId="Paragraphedeliste">
    <w:name w:val="List Paragraph"/>
    <w:basedOn w:val="Normal"/>
    <w:uiPriority w:val="34"/>
    <w:qFormat/>
    <w:rsid w:val="00EE7610"/>
    <w:pPr>
      <w:ind w:left="720"/>
      <w:contextualSpacing/>
    </w:p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3393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Microsoft Word - Note de présentation brève et synthétique 2024</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Note de présentation brève et synthétique 2024</dc:title>
  <dc:subject/>
  <dc:creator>Elus</dc:creator>
  <dc:description/>
  <cp:lastModifiedBy>Urbanisme Mairie de CHOISY en BRIE</cp:lastModifiedBy>
  <cp:revision>2</cp:revision>
  <dcterms:created xsi:type="dcterms:W3CDTF">2026-04-23T13:12:00Z</dcterms:created>
  <dcterms:modified xsi:type="dcterms:W3CDTF">2026-04-23T13:12:00Z</dcterms:modified>
  <dc:language>fr-FR</dc:language>
</cp:coreProperties>
</file>